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36" w:rsidRPr="00705216" w:rsidRDefault="00705216" w:rsidP="00705216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216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 1</w:t>
      </w: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052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Условие:</w:t>
      </w:r>
    </w:p>
    <w:p w:rsidR="00705216" w:rsidRDefault="00B44536" w:rsidP="00705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21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приведенных данных проведите анализ структуры балансовой прибыли предприятия по плану и фактически и, используя балансовый метод, оцените влияния факторов на ее изменение в исследуемом периоде. </w:t>
      </w:r>
    </w:p>
    <w:p w:rsidR="00B44536" w:rsidRPr="00705216" w:rsidRDefault="00B44536" w:rsidP="00705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216">
        <w:rPr>
          <w:rFonts w:ascii="Times New Roman" w:eastAsia="Times New Roman" w:hAnsi="Times New Roman"/>
          <w:sz w:val="28"/>
          <w:szCs w:val="28"/>
          <w:lang w:eastAsia="ru-RU"/>
        </w:rPr>
        <w:t>Расчеты  представьте в таблице. Сделайте выводы.</w:t>
      </w:r>
    </w:p>
    <w:tbl>
      <w:tblPr>
        <w:tblStyle w:val="1"/>
        <w:tblW w:w="5000" w:type="pct"/>
        <w:tblInd w:w="98" w:type="dxa"/>
        <w:tblLook w:val="04A0"/>
      </w:tblPr>
      <w:tblGrid>
        <w:gridCol w:w="6773"/>
        <w:gridCol w:w="1399"/>
        <w:gridCol w:w="1399"/>
      </w:tblGrid>
      <w:tr w:rsidR="00B44536" w:rsidRPr="00B44536" w:rsidTr="00705216">
        <w:tc>
          <w:tcPr>
            <w:tcW w:w="3538" w:type="pct"/>
            <w:vMerge w:val="restart"/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 затрат</w:t>
            </w:r>
          </w:p>
        </w:tc>
        <w:tc>
          <w:tcPr>
            <w:tcW w:w="1462" w:type="pct"/>
            <w:gridSpan w:val="2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</w:t>
            </w:r>
            <w:proofErr w:type="spellStart"/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B44536" w:rsidRPr="00B44536" w:rsidTr="00705216">
        <w:tc>
          <w:tcPr>
            <w:tcW w:w="3538" w:type="pct"/>
            <w:vMerge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44536" w:rsidRPr="00B44536" w:rsidTr="00705216">
        <w:tc>
          <w:tcPr>
            <w:tcW w:w="3538" w:type="pct"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Выручка от реализации продукции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309300</w:t>
            </w:r>
          </w:p>
        </w:tc>
      </w:tr>
      <w:tr w:rsidR="00B44536" w:rsidRPr="00B44536" w:rsidTr="00705216">
        <w:tc>
          <w:tcPr>
            <w:tcW w:w="3538" w:type="pct"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Себестоимость реализованной продукции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200315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300050</w:t>
            </w:r>
          </w:p>
        </w:tc>
      </w:tr>
      <w:tr w:rsidR="00B44536" w:rsidRPr="00B44536" w:rsidTr="00705216">
        <w:tc>
          <w:tcPr>
            <w:tcW w:w="3538" w:type="pct"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 от реализации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  <w:tr w:rsidR="00B44536" w:rsidRPr="00B44536" w:rsidTr="00705216">
        <w:tc>
          <w:tcPr>
            <w:tcW w:w="3538" w:type="pct"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 (убыток) от прочей реализации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-715</w:t>
            </w:r>
          </w:p>
        </w:tc>
      </w:tr>
      <w:tr w:rsidR="00B44536" w:rsidRPr="00B44536" w:rsidTr="00705216">
        <w:tc>
          <w:tcPr>
            <w:tcW w:w="3538" w:type="pct"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внереализационных операций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</w:t>
            </w:r>
          </w:p>
        </w:tc>
      </w:tr>
      <w:tr w:rsidR="00B44536" w:rsidRPr="00B44536" w:rsidTr="00705216">
        <w:tc>
          <w:tcPr>
            <w:tcW w:w="3538" w:type="pct"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внереализационным операциям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5840</w:t>
            </w:r>
          </w:p>
        </w:tc>
      </w:tr>
      <w:tr w:rsidR="00B44536" w:rsidRPr="00B44536" w:rsidTr="00705216">
        <w:tc>
          <w:tcPr>
            <w:tcW w:w="3538" w:type="pct"/>
            <w:hideMark/>
          </w:tcPr>
          <w:p w:rsidR="00B44536" w:rsidRPr="00B44536" w:rsidRDefault="00B44536" w:rsidP="00B44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Балансовая прибыль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B44536" w:rsidRDefault="00B4453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5216">
        <w:rPr>
          <w:rFonts w:ascii="Times New Roman" w:hAnsi="Times New Roman"/>
          <w:b/>
          <w:i/>
          <w:sz w:val="28"/>
          <w:szCs w:val="28"/>
        </w:rPr>
        <w:t>Решение:</w:t>
      </w:r>
    </w:p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Определим недостающие данные и рассчитаем удельный вес составляющих в балансовой прибыли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Расчет представим в таблице.</w:t>
      </w:r>
    </w:p>
    <w:p w:rsidR="00705216" w:rsidRDefault="00705216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</w:p>
    <w:p w:rsidR="00705216" w:rsidRPr="00705216" w:rsidRDefault="00705216" w:rsidP="0070521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 структура балансовой прибыли</w:t>
      </w:r>
    </w:p>
    <w:tbl>
      <w:tblPr>
        <w:tblStyle w:val="a3"/>
        <w:tblW w:w="0" w:type="auto"/>
        <w:tblLook w:val="04A0"/>
      </w:tblPr>
      <w:tblGrid>
        <w:gridCol w:w="2151"/>
        <w:gridCol w:w="1126"/>
        <w:gridCol w:w="1114"/>
        <w:gridCol w:w="1621"/>
        <w:gridCol w:w="1095"/>
        <w:gridCol w:w="1064"/>
        <w:gridCol w:w="1400"/>
      </w:tblGrid>
      <w:tr w:rsidR="00705216" w:rsidTr="00705216">
        <w:tc>
          <w:tcPr>
            <w:tcW w:w="1335" w:type="dxa"/>
            <w:vMerge w:val="restart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Элемент затрат</w:t>
            </w:r>
          </w:p>
        </w:tc>
        <w:tc>
          <w:tcPr>
            <w:tcW w:w="2508" w:type="dxa"/>
            <w:gridSpan w:val="2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 xml:space="preserve">Значение, </w:t>
            </w:r>
            <w:proofErr w:type="spellStart"/>
            <w:r w:rsidRPr="00340F23">
              <w:rPr>
                <w:rFonts w:ascii="Times New Roman" w:hAnsi="Times New Roman"/>
                <w:sz w:val="24"/>
                <w:szCs w:val="24"/>
              </w:rPr>
              <w:t>ден</w:t>
            </w:r>
            <w:proofErr w:type="spellEnd"/>
            <w:r w:rsidRPr="00340F2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711" w:type="dxa"/>
            <w:vMerge w:val="restart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Абсолютное отклонение</w:t>
            </w:r>
          </w:p>
        </w:tc>
        <w:tc>
          <w:tcPr>
            <w:tcW w:w="4017" w:type="dxa"/>
            <w:gridSpan w:val="3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:rsidR="00705216" w:rsidTr="00705216">
        <w:tc>
          <w:tcPr>
            <w:tcW w:w="1335" w:type="dxa"/>
            <w:vMerge/>
          </w:tcPr>
          <w:p w:rsidR="00705216" w:rsidRPr="00340F23" w:rsidRDefault="00705216" w:rsidP="00543E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711" w:type="dxa"/>
            <w:vMerge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705216" w:rsidTr="00705216">
        <w:tc>
          <w:tcPr>
            <w:tcW w:w="1335" w:type="dxa"/>
          </w:tcPr>
          <w:p w:rsidR="00705216" w:rsidRPr="00705216" w:rsidRDefault="00705216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270160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309300</w:t>
            </w:r>
          </w:p>
        </w:tc>
        <w:tc>
          <w:tcPr>
            <w:tcW w:w="171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39140</w:t>
            </w: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5216" w:rsidTr="00705216">
        <w:tc>
          <w:tcPr>
            <w:tcW w:w="1335" w:type="dxa"/>
          </w:tcPr>
          <w:p w:rsidR="00705216" w:rsidRPr="00705216" w:rsidRDefault="00705216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t>Себестоимость реализованной продукции</w:t>
            </w: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200315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300050</w:t>
            </w:r>
          </w:p>
        </w:tc>
        <w:tc>
          <w:tcPr>
            <w:tcW w:w="171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99735</w:t>
            </w: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5216" w:rsidTr="00705216">
        <w:tc>
          <w:tcPr>
            <w:tcW w:w="1335" w:type="dxa"/>
          </w:tcPr>
          <w:p w:rsidR="00705216" w:rsidRPr="00705216" w:rsidRDefault="00705216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t>Прибыль от реализации (п.1-п.2)</w:t>
            </w: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69845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9250</w:t>
            </w:r>
          </w:p>
        </w:tc>
        <w:tc>
          <w:tcPr>
            <w:tcW w:w="171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-60595</w:t>
            </w: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96,41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110,18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13,77</w:t>
            </w:r>
          </w:p>
        </w:tc>
      </w:tr>
      <w:tr w:rsidR="00705216" w:rsidTr="00705216">
        <w:tc>
          <w:tcPr>
            <w:tcW w:w="1335" w:type="dxa"/>
          </w:tcPr>
          <w:p w:rsidR="00705216" w:rsidRPr="00705216" w:rsidRDefault="00705216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t>Прибыль (убыток) от прочей реализации</w:t>
            </w: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2410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-715</w:t>
            </w:r>
          </w:p>
        </w:tc>
        <w:tc>
          <w:tcPr>
            <w:tcW w:w="171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-3125</w:t>
            </w: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-8,52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-11,84</w:t>
            </w:r>
          </w:p>
        </w:tc>
      </w:tr>
      <w:tr w:rsidR="00705216" w:rsidTr="00705216">
        <w:tc>
          <w:tcPr>
            <w:tcW w:w="1335" w:type="dxa"/>
          </w:tcPr>
          <w:p w:rsidR="00705216" w:rsidRPr="00705216" w:rsidRDefault="00705216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t>Доходы от внереализованных операций</w:t>
            </w: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5220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  <w:tc>
          <w:tcPr>
            <w:tcW w:w="171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7,21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67,90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60,69</w:t>
            </w:r>
          </w:p>
        </w:tc>
      </w:tr>
      <w:tr w:rsidR="00705216" w:rsidTr="00705216">
        <w:tc>
          <w:tcPr>
            <w:tcW w:w="1335" w:type="dxa"/>
          </w:tcPr>
          <w:p w:rsidR="00705216" w:rsidRPr="00705216" w:rsidRDefault="00705216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t xml:space="preserve">Расходы по внереализованным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lastRenderedPageBreak/>
              <w:t>операциям</w:t>
            </w: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lastRenderedPageBreak/>
              <w:t>5030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5840</w:t>
            </w:r>
          </w:p>
        </w:tc>
        <w:tc>
          <w:tcPr>
            <w:tcW w:w="171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-6,94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-69,57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-62,62</w:t>
            </w:r>
          </w:p>
        </w:tc>
      </w:tr>
      <w:tr w:rsidR="00705216" w:rsidTr="00705216">
        <w:tc>
          <w:tcPr>
            <w:tcW w:w="1335" w:type="dxa"/>
          </w:tcPr>
          <w:p w:rsidR="00705216" w:rsidRPr="00705216" w:rsidRDefault="00705216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  <w:r w:rsidRPr="00705216">
              <w:rPr>
                <w:rFonts w:ascii="Times New Roman" w:hAnsi="Times New Roman"/>
                <w:sz w:val="24"/>
                <w:szCs w:val="24"/>
              </w:rPr>
              <w:t>Балансовая прибыль (п.3+п.4+п.5-п.6)</w:t>
            </w:r>
          </w:p>
        </w:tc>
        <w:tc>
          <w:tcPr>
            <w:tcW w:w="1265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72445</w:t>
            </w:r>
          </w:p>
        </w:tc>
        <w:tc>
          <w:tcPr>
            <w:tcW w:w="1243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8395</w:t>
            </w:r>
          </w:p>
        </w:tc>
        <w:tc>
          <w:tcPr>
            <w:tcW w:w="171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-64050</w:t>
            </w:r>
          </w:p>
        </w:tc>
        <w:tc>
          <w:tcPr>
            <w:tcW w:w="1341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6" w:type="dxa"/>
            <w:vAlign w:val="center"/>
          </w:tcPr>
          <w:p w:rsidR="00705216" w:rsidRPr="00340F23" w:rsidRDefault="0070521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F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05216" w:rsidRDefault="00705216" w:rsidP="007052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216" w:rsidRDefault="00705216" w:rsidP="007052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проведенных расчетов можно сделать следующие выводы.</w:t>
      </w:r>
    </w:p>
    <w:p w:rsidR="00705216" w:rsidRDefault="00705216" w:rsidP="007052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 xml:space="preserve">В отчетном году была получена прибыль от реализации, однако ее величина меньше запланированной на 60595 </w:t>
      </w:r>
      <w:proofErr w:type="spellStart"/>
      <w:r w:rsidRPr="00705216">
        <w:rPr>
          <w:rFonts w:ascii="Times New Roman" w:hAnsi="Times New Roman"/>
          <w:sz w:val="28"/>
          <w:szCs w:val="28"/>
        </w:rPr>
        <w:t>ден</w:t>
      </w:r>
      <w:proofErr w:type="spellEnd"/>
      <w:r w:rsidRPr="00705216">
        <w:rPr>
          <w:rFonts w:ascii="Times New Roman" w:hAnsi="Times New Roman"/>
          <w:sz w:val="28"/>
          <w:szCs w:val="28"/>
        </w:rPr>
        <w:t>. ед. Такое значительное отклонение от плана можно признать отрицательным.</w:t>
      </w:r>
    </w:p>
    <w:p w:rsidR="00705216" w:rsidRDefault="00705216" w:rsidP="007052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Структура балансовой прибыли такова, что в большей степени по плану она складывалась из прибыли от реализации. Фактически же балансовая прибыль полностью складывалась из прибыли от реализации (на 110,18%). Это можно оценить положительно.</w:t>
      </w:r>
    </w:p>
    <w:p w:rsidR="00705216" w:rsidRPr="00705216" w:rsidRDefault="00705216" w:rsidP="007052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216">
        <w:rPr>
          <w:rFonts w:ascii="Times New Roman" w:hAnsi="Times New Roman"/>
          <w:sz w:val="28"/>
          <w:szCs w:val="28"/>
        </w:rPr>
        <w:t xml:space="preserve">Что касается влияния факторов на изменение балансовой прибыли, то положительное влияние оказало увеличение выручки на 39140 </w:t>
      </w:r>
      <w:proofErr w:type="spellStart"/>
      <w:r w:rsidRPr="00705216">
        <w:rPr>
          <w:rFonts w:ascii="Times New Roman" w:hAnsi="Times New Roman"/>
          <w:sz w:val="28"/>
          <w:szCs w:val="28"/>
        </w:rPr>
        <w:t>ден</w:t>
      </w:r>
      <w:proofErr w:type="spellEnd"/>
      <w:r w:rsidRPr="00705216">
        <w:rPr>
          <w:rFonts w:ascii="Times New Roman" w:hAnsi="Times New Roman"/>
          <w:sz w:val="28"/>
          <w:szCs w:val="28"/>
        </w:rPr>
        <w:t xml:space="preserve">. ед. и повышение доходов от внереализованных операций на 480 </w:t>
      </w:r>
      <w:proofErr w:type="spellStart"/>
      <w:r w:rsidRPr="00705216">
        <w:rPr>
          <w:rFonts w:ascii="Times New Roman" w:hAnsi="Times New Roman"/>
          <w:sz w:val="28"/>
          <w:szCs w:val="28"/>
        </w:rPr>
        <w:t>ден</w:t>
      </w:r>
      <w:proofErr w:type="spellEnd"/>
      <w:r w:rsidRPr="00705216">
        <w:rPr>
          <w:rFonts w:ascii="Times New Roman" w:hAnsi="Times New Roman"/>
          <w:sz w:val="28"/>
          <w:szCs w:val="28"/>
        </w:rPr>
        <w:t xml:space="preserve">. ед.. Отрицательное влияние на снижение прибыли оказали – увеличение себестоимости на 99735 </w:t>
      </w:r>
      <w:proofErr w:type="spellStart"/>
      <w:r w:rsidRPr="00705216">
        <w:rPr>
          <w:rFonts w:ascii="Times New Roman" w:hAnsi="Times New Roman"/>
          <w:sz w:val="28"/>
          <w:szCs w:val="28"/>
        </w:rPr>
        <w:t>ден</w:t>
      </w:r>
      <w:proofErr w:type="spellEnd"/>
      <w:r w:rsidRPr="00705216">
        <w:rPr>
          <w:rFonts w:ascii="Times New Roman" w:hAnsi="Times New Roman"/>
          <w:sz w:val="28"/>
          <w:szCs w:val="28"/>
        </w:rPr>
        <w:t xml:space="preserve">. ед., снижение прибыли от прочей реализации на 3125 </w:t>
      </w:r>
      <w:proofErr w:type="spellStart"/>
      <w:r w:rsidRPr="00705216">
        <w:rPr>
          <w:rFonts w:ascii="Times New Roman" w:hAnsi="Times New Roman"/>
          <w:sz w:val="28"/>
          <w:szCs w:val="28"/>
        </w:rPr>
        <w:t>ден</w:t>
      </w:r>
      <w:proofErr w:type="spellEnd"/>
      <w:r w:rsidRPr="00705216">
        <w:rPr>
          <w:rFonts w:ascii="Times New Roman" w:hAnsi="Times New Roman"/>
          <w:sz w:val="28"/>
          <w:szCs w:val="28"/>
        </w:rPr>
        <w:t xml:space="preserve">. ед., увеличение расходов на 810 </w:t>
      </w:r>
      <w:proofErr w:type="spellStart"/>
      <w:r w:rsidRPr="00705216">
        <w:rPr>
          <w:rFonts w:ascii="Times New Roman" w:hAnsi="Times New Roman"/>
          <w:sz w:val="28"/>
          <w:szCs w:val="28"/>
        </w:rPr>
        <w:t>ден.ед</w:t>
      </w:r>
      <w:proofErr w:type="spellEnd"/>
      <w:r w:rsidRPr="00705216">
        <w:rPr>
          <w:rFonts w:ascii="Times New Roman" w:hAnsi="Times New Roman"/>
          <w:sz w:val="28"/>
          <w:szCs w:val="28"/>
        </w:rPr>
        <w:t>.. Все эти факторы повлекли снижение</w:t>
      </w:r>
      <w:proofErr w:type="gramEnd"/>
      <w:r w:rsidRPr="00705216">
        <w:rPr>
          <w:rFonts w:ascii="Times New Roman" w:hAnsi="Times New Roman"/>
          <w:sz w:val="28"/>
          <w:szCs w:val="28"/>
        </w:rPr>
        <w:t xml:space="preserve"> балансовой прибыли на 60595 </w:t>
      </w:r>
      <w:proofErr w:type="spellStart"/>
      <w:r w:rsidRPr="00705216">
        <w:rPr>
          <w:rFonts w:ascii="Times New Roman" w:hAnsi="Times New Roman"/>
          <w:sz w:val="28"/>
          <w:szCs w:val="28"/>
        </w:rPr>
        <w:t>ден</w:t>
      </w:r>
      <w:proofErr w:type="spellEnd"/>
      <w:r w:rsidRPr="00705216">
        <w:rPr>
          <w:rFonts w:ascii="Times New Roman" w:hAnsi="Times New Roman"/>
          <w:sz w:val="28"/>
          <w:szCs w:val="28"/>
        </w:rPr>
        <w:t>. ед</w:t>
      </w:r>
      <w:proofErr w:type="gramStart"/>
      <w:r w:rsidRPr="00705216">
        <w:rPr>
          <w:rFonts w:ascii="Times New Roman" w:hAnsi="Times New Roman"/>
          <w:sz w:val="28"/>
          <w:szCs w:val="28"/>
        </w:rPr>
        <w:t>..</w:t>
      </w:r>
      <w:proofErr w:type="gramEnd"/>
    </w:p>
    <w:p w:rsidR="00705216" w:rsidRDefault="00705216" w:rsidP="00705216">
      <w:pPr>
        <w:spacing w:after="0" w:line="360" w:lineRule="auto"/>
        <w:ind w:firstLine="709"/>
        <w:jc w:val="both"/>
        <w:rPr>
          <w:noProof/>
          <w:lang w:eastAsia="ru-RU"/>
        </w:rPr>
      </w:pP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536" w:rsidRPr="00705216" w:rsidRDefault="00705216" w:rsidP="004E7A8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2</w:t>
      </w: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052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Условие:</w:t>
      </w:r>
    </w:p>
    <w:p w:rsidR="00B44536" w:rsidRPr="00705216" w:rsidRDefault="00B4453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 xml:space="preserve">Используя данные таблицы, проведите анализ технической вооружённости труда на предприятии, а также рассчитайте показатели эффективного использования </w:t>
      </w:r>
      <w:proofErr w:type="spellStart"/>
      <w:r w:rsidRPr="00705216">
        <w:rPr>
          <w:rFonts w:ascii="Times New Roman" w:hAnsi="Times New Roman"/>
          <w:sz w:val="28"/>
          <w:szCs w:val="28"/>
        </w:rPr>
        <w:t>ОПрФ</w:t>
      </w:r>
      <w:proofErr w:type="spellEnd"/>
      <w:r w:rsidRPr="00705216">
        <w:rPr>
          <w:rFonts w:ascii="Times New Roman" w:hAnsi="Times New Roman"/>
          <w:sz w:val="28"/>
          <w:szCs w:val="28"/>
        </w:rPr>
        <w:t xml:space="preserve">, если известно, что в базисном году выручка составила 850 тыс. </w:t>
      </w:r>
      <w:proofErr w:type="spellStart"/>
      <w:r w:rsidRPr="00705216">
        <w:rPr>
          <w:rFonts w:ascii="Times New Roman" w:hAnsi="Times New Roman"/>
          <w:sz w:val="28"/>
          <w:szCs w:val="28"/>
        </w:rPr>
        <w:t>руб</w:t>
      </w:r>
      <w:proofErr w:type="spellEnd"/>
      <w:r w:rsidRPr="00705216">
        <w:rPr>
          <w:rFonts w:ascii="Times New Roman" w:hAnsi="Times New Roman"/>
          <w:sz w:val="28"/>
          <w:szCs w:val="28"/>
        </w:rPr>
        <w:t>, а в отчетном 870 тыс</w:t>
      </w:r>
      <w:proofErr w:type="gramStart"/>
      <w:r w:rsidRPr="00705216">
        <w:rPr>
          <w:rFonts w:ascii="Times New Roman" w:hAnsi="Times New Roman"/>
          <w:sz w:val="28"/>
          <w:szCs w:val="28"/>
        </w:rPr>
        <w:t>.р</w:t>
      </w:r>
      <w:proofErr w:type="gramEnd"/>
      <w:r w:rsidRPr="00705216">
        <w:rPr>
          <w:rFonts w:ascii="Times New Roman" w:hAnsi="Times New Roman"/>
          <w:sz w:val="28"/>
          <w:szCs w:val="28"/>
        </w:rPr>
        <w:t>уб. Сделайте выводы.</w:t>
      </w:r>
    </w:p>
    <w:p w:rsidR="004E7A8B" w:rsidRDefault="004E7A8B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E7A8B" w:rsidRDefault="004E7A8B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E7A8B" w:rsidRDefault="004E7A8B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44536" w:rsidRPr="00705216" w:rsidRDefault="00B44536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lastRenderedPageBreak/>
        <w:t>Таблица</w:t>
      </w:r>
    </w:p>
    <w:p w:rsidR="00B44536" w:rsidRPr="00705216" w:rsidRDefault="00B44536" w:rsidP="0070521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Анализ технической вооруженности труда</w:t>
      </w:r>
    </w:p>
    <w:tbl>
      <w:tblPr>
        <w:tblStyle w:val="a3"/>
        <w:tblW w:w="0" w:type="auto"/>
        <w:tblLook w:val="04A0"/>
      </w:tblPr>
      <w:tblGrid>
        <w:gridCol w:w="4644"/>
        <w:gridCol w:w="1276"/>
        <w:gridCol w:w="1258"/>
        <w:gridCol w:w="1230"/>
        <w:gridCol w:w="1163"/>
      </w:tblGrid>
      <w:tr w:rsidR="00B44536" w:rsidRPr="00B44536" w:rsidTr="00705216">
        <w:trPr>
          <w:trHeight w:val="225"/>
        </w:trPr>
        <w:tc>
          <w:tcPr>
            <w:tcW w:w="4644" w:type="dxa"/>
            <w:vMerge w:val="restart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Базисный год</w:t>
            </w:r>
          </w:p>
        </w:tc>
        <w:tc>
          <w:tcPr>
            <w:tcW w:w="1258" w:type="dxa"/>
            <w:vMerge w:val="restart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393" w:type="dxa"/>
            <w:gridSpan w:val="2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B44536" w:rsidRPr="00B44536" w:rsidTr="00705216">
        <w:trPr>
          <w:trHeight w:val="225"/>
        </w:trPr>
        <w:tc>
          <w:tcPr>
            <w:tcW w:w="4644" w:type="dxa"/>
            <w:vMerge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+,-</w:t>
            </w:r>
          </w:p>
        </w:tc>
        <w:tc>
          <w:tcPr>
            <w:tcW w:w="1163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44536" w:rsidRPr="00B44536" w:rsidTr="00705216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 xml:space="preserve">1.Среднегодовая стоимость </w:t>
            </w: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ОПрФ</w:t>
            </w:r>
            <w:proofErr w:type="spellEnd"/>
            <w:r w:rsidRPr="00B445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58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3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705216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2.Среднегодовая стоимость машин и оборудования (активная часть),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8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3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705216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3.Среднесписочная численность рабочих, чел</w:t>
            </w:r>
          </w:p>
        </w:tc>
        <w:tc>
          <w:tcPr>
            <w:tcW w:w="1276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705216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4.Коэффициент использования оборудования по времени</w:t>
            </w:r>
          </w:p>
        </w:tc>
        <w:tc>
          <w:tcPr>
            <w:tcW w:w="1276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258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123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5216">
        <w:rPr>
          <w:rFonts w:ascii="Times New Roman" w:hAnsi="Times New Roman"/>
          <w:b/>
          <w:i/>
          <w:sz w:val="28"/>
          <w:szCs w:val="28"/>
        </w:rPr>
        <w:t>Решение:</w:t>
      </w:r>
    </w:p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Проведем анализ </w:t>
      </w:r>
      <w:r w:rsidRPr="00705216">
        <w:rPr>
          <w:rFonts w:ascii="Times New Roman" w:hAnsi="Times New Roman"/>
          <w:sz w:val="28"/>
          <w:szCs w:val="28"/>
        </w:rPr>
        <w:t>технической вооружённости труда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Для этого данные для анализа представим в таблице.</w:t>
      </w:r>
    </w:p>
    <w:p w:rsidR="00705216" w:rsidRDefault="00705216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</w:p>
    <w:p w:rsidR="00705216" w:rsidRPr="00705216" w:rsidRDefault="00705216" w:rsidP="0070521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Анализ технической вооруженности труда</w:t>
      </w:r>
    </w:p>
    <w:tbl>
      <w:tblPr>
        <w:tblStyle w:val="a3"/>
        <w:tblW w:w="0" w:type="auto"/>
        <w:tblLook w:val="04A0"/>
      </w:tblPr>
      <w:tblGrid>
        <w:gridCol w:w="4644"/>
        <w:gridCol w:w="1276"/>
        <w:gridCol w:w="1258"/>
        <w:gridCol w:w="1230"/>
        <w:gridCol w:w="1163"/>
      </w:tblGrid>
      <w:tr w:rsidR="00705216" w:rsidRPr="00B44536" w:rsidTr="00543E22">
        <w:trPr>
          <w:trHeight w:val="225"/>
        </w:trPr>
        <w:tc>
          <w:tcPr>
            <w:tcW w:w="4644" w:type="dxa"/>
            <w:vMerge w:val="restart"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Базисный год</w:t>
            </w:r>
          </w:p>
        </w:tc>
        <w:tc>
          <w:tcPr>
            <w:tcW w:w="1258" w:type="dxa"/>
            <w:vMerge w:val="restart"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393" w:type="dxa"/>
            <w:gridSpan w:val="2"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705216" w:rsidRPr="00B44536" w:rsidTr="00543E22">
        <w:trPr>
          <w:trHeight w:val="225"/>
        </w:trPr>
        <w:tc>
          <w:tcPr>
            <w:tcW w:w="4644" w:type="dxa"/>
            <w:vMerge/>
          </w:tcPr>
          <w:p w:rsidR="00705216" w:rsidRPr="00B44536" w:rsidRDefault="00705216" w:rsidP="00543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+,-</w:t>
            </w:r>
          </w:p>
        </w:tc>
        <w:tc>
          <w:tcPr>
            <w:tcW w:w="1163" w:type="dxa"/>
            <w:vAlign w:val="center"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Выручка от реализации, тыс. руб.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 xml:space="preserve">.Среднегодовая стоимость </w:t>
            </w: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ОПрФ</w:t>
            </w:r>
            <w:proofErr w:type="spellEnd"/>
            <w:r w:rsidRPr="00B445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.Среднегодовая стоимость машин и оборудования (активная часть),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8,84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.Среднесписочная численность рабочих, чел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-25,00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.Коэффициент использования оборудования по времени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Удельный вес активной части в общей стоимости основных фондов, % (п.3/п.2)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58,80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60,38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Техническая вооруженность труда, тыс. руб./чел. (п.3/п.4)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53,33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16,58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45,12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Производительность труда, тыс. руб. (п.1/п.4)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212,50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77,50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36,47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Default="00063C8A" w:rsidP="00705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Фондовооруженность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труда, тыс. руб./чел.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88,33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25,83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41,33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Фондоотдача, руб./руб. (п.1/п.2)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3,400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3,283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-0,117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-3,44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Фондоотдача активной части, руб./руб. (п.1/п.3)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5,782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5,438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-0,345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-5,96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Фондоемкость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.2/п.1)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0,294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0,305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0,010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</w:tr>
      <w:tr w:rsidR="00063C8A" w:rsidRPr="00B44536" w:rsidTr="00063C8A">
        <w:tc>
          <w:tcPr>
            <w:tcW w:w="4644" w:type="dxa"/>
          </w:tcPr>
          <w:p w:rsidR="00063C8A" w:rsidRPr="00B44536" w:rsidRDefault="00063C8A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Фондоемкость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активной части, коп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.3/п.1)</w:t>
            </w:r>
          </w:p>
        </w:tc>
        <w:tc>
          <w:tcPr>
            <w:tcW w:w="1276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0,173</w:t>
            </w:r>
          </w:p>
        </w:tc>
        <w:tc>
          <w:tcPr>
            <w:tcW w:w="1258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0,184</w:t>
            </w:r>
          </w:p>
        </w:tc>
        <w:tc>
          <w:tcPr>
            <w:tcW w:w="1230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163" w:type="dxa"/>
            <w:vAlign w:val="center"/>
          </w:tcPr>
          <w:p w:rsidR="00063C8A" w:rsidRPr="00063C8A" w:rsidRDefault="00063C8A" w:rsidP="000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8A">
              <w:rPr>
                <w:rFonts w:ascii="Times New Roman" w:hAnsi="Times New Roman"/>
                <w:sz w:val="24"/>
                <w:szCs w:val="24"/>
              </w:rPr>
              <w:t>6,34</w:t>
            </w:r>
          </w:p>
        </w:tc>
      </w:tr>
    </w:tbl>
    <w:p w:rsidR="00063C8A" w:rsidRDefault="00063C8A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05216" w:rsidRPr="00705216" w:rsidRDefault="00705216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216">
        <w:rPr>
          <w:color w:val="000000"/>
          <w:sz w:val="28"/>
          <w:szCs w:val="28"/>
        </w:rPr>
        <w:t xml:space="preserve">На основании анализа, проведенного в таблице, можно сделать вывод, </w:t>
      </w:r>
      <w:r w:rsidRPr="00705216">
        <w:rPr>
          <w:color w:val="000000"/>
          <w:sz w:val="28"/>
          <w:szCs w:val="28"/>
        </w:rPr>
        <w:lastRenderedPageBreak/>
        <w:t>что выручка организации в отчетном году увеличилась на 20 тыс. руб. или на 2,35%, что характеризуется положительно и говорит о росте продаж.</w:t>
      </w:r>
    </w:p>
    <w:p w:rsidR="00705216" w:rsidRPr="00705216" w:rsidRDefault="00705216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5216">
        <w:rPr>
          <w:color w:val="000000"/>
          <w:sz w:val="28"/>
          <w:szCs w:val="28"/>
        </w:rPr>
        <w:t>Кроме того, происходит увеличение среднегодовой стоимости основных производственных фондов на 15 тыс. руб. или на 6,0%. При этом, стоимость активной части основных производственных фондов увеличилась на 13 тыс. руб. или на 8,84%. За счет этого, увеличилась доля активной части в общей стоимости основных фондов на 1,58% и составила на конец отчетного года 60,38% всех основных фондов.</w:t>
      </w:r>
      <w:proofErr w:type="gramEnd"/>
    </w:p>
    <w:p w:rsidR="00705216" w:rsidRPr="00705216" w:rsidRDefault="00705216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216">
        <w:rPr>
          <w:color w:val="000000"/>
          <w:sz w:val="28"/>
          <w:szCs w:val="28"/>
        </w:rPr>
        <w:t>Среднесписочная численность работников организации за отчетный год снизилась на 1 человека или на 25,0%.</w:t>
      </w:r>
    </w:p>
    <w:p w:rsidR="00705216" w:rsidRPr="00705216" w:rsidRDefault="00705216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216">
        <w:rPr>
          <w:color w:val="000000"/>
          <w:sz w:val="28"/>
          <w:szCs w:val="28"/>
        </w:rPr>
        <w:t xml:space="preserve">Также происходит повышение </w:t>
      </w:r>
      <w:proofErr w:type="spellStart"/>
      <w:r w:rsidRPr="00705216">
        <w:rPr>
          <w:color w:val="000000"/>
          <w:sz w:val="28"/>
          <w:szCs w:val="28"/>
        </w:rPr>
        <w:t>фондовооруженности</w:t>
      </w:r>
      <w:proofErr w:type="spellEnd"/>
      <w:r w:rsidRPr="00705216">
        <w:rPr>
          <w:color w:val="000000"/>
          <w:sz w:val="28"/>
          <w:szCs w:val="28"/>
        </w:rPr>
        <w:t xml:space="preserve"> труда на 25,83 тыс. руб.</w:t>
      </w:r>
      <w:r w:rsidR="00063C8A">
        <w:rPr>
          <w:color w:val="000000"/>
          <w:sz w:val="28"/>
          <w:szCs w:val="28"/>
        </w:rPr>
        <w:t>/чел.</w:t>
      </w:r>
      <w:r w:rsidRPr="00705216">
        <w:rPr>
          <w:color w:val="000000"/>
          <w:sz w:val="28"/>
          <w:szCs w:val="28"/>
        </w:rPr>
        <w:t xml:space="preserve"> или на 41,33% вследствие того, что стоимость основных средств растет более быстрыми темпами, чем среднесписочная численность работников.</w:t>
      </w:r>
    </w:p>
    <w:p w:rsidR="00705216" w:rsidRPr="00705216" w:rsidRDefault="00705216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216">
        <w:rPr>
          <w:color w:val="000000"/>
          <w:sz w:val="28"/>
          <w:szCs w:val="28"/>
        </w:rPr>
        <w:t>Кроме того, происходит повышение технической вооруженности труда на 16,58 тыс. руб.</w:t>
      </w:r>
      <w:r w:rsidR="00063C8A">
        <w:rPr>
          <w:color w:val="000000"/>
          <w:sz w:val="28"/>
          <w:szCs w:val="28"/>
        </w:rPr>
        <w:t>/чел.</w:t>
      </w:r>
      <w:r w:rsidRPr="00705216">
        <w:rPr>
          <w:color w:val="000000"/>
          <w:sz w:val="28"/>
          <w:szCs w:val="28"/>
        </w:rPr>
        <w:t xml:space="preserve"> или на 45,12% вследствие того, что стоимость активной части основных средств растет более быстрыми темпами, чем среднесписочная численность работников.</w:t>
      </w:r>
    </w:p>
    <w:p w:rsidR="00705216" w:rsidRPr="00705216" w:rsidRDefault="00705216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216">
        <w:rPr>
          <w:color w:val="000000"/>
          <w:sz w:val="28"/>
          <w:szCs w:val="28"/>
        </w:rPr>
        <w:t xml:space="preserve">Так, данные таблицы показывают, что оба показателя увеличились: </w:t>
      </w:r>
      <w:proofErr w:type="spellStart"/>
      <w:r w:rsidRPr="00705216">
        <w:rPr>
          <w:color w:val="000000"/>
          <w:sz w:val="28"/>
          <w:szCs w:val="28"/>
        </w:rPr>
        <w:t>фондовооруженность</w:t>
      </w:r>
      <w:proofErr w:type="spellEnd"/>
      <w:r w:rsidRPr="00705216">
        <w:rPr>
          <w:color w:val="000000"/>
          <w:sz w:val="28"/>
          <w:szCs w:val="28"/>
        </w:rPr>
        <w:t xml:space="preserve"> труда на 41,33%, а техническая вооруженность труда на 45,12%. Это произошло за счет уменьшения численности производственных рабочих и счет повышения производительности труда оставшихся.</w:t>
      </w:r>
    </w:p>
    <w:p w:rsidR="00705216" w:rsidRPr="00705216" w:rsidRDefault="00705216" w:rsidP="00705216">
      <w:pPr>
        <w:pStyle w:val="aa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216">
        <w:rPr>
          <w:color w:val="000000"/>
          <w:sz w:val="28"/>
          <w:szCs w:val="28"/>
        </w:rPr>
        <w:t>При этом</w:t>
      </w:r>
      <w:proofErr w:type="gramStart"/>
      <w:r w:rsidRPr="00705216">
        <w:rPr>
          <w:color w:val="000000"/>
          <w:sz w:val="28"/>
          <w:szCs w:val="28"/>
        </w:rPr>
        <w:t>,</w:t>
      </w:r>
      <w:proofErr w:type="gramEnd"/>
      <w:r w:rsidRPr="00705216">
        <w:rPr>
          <w:color w:val="000000"/>
          <w:sz w:val="28"/>
          <w:szCs w:val="28"/>
        </w:rPr>
        <w:t xml:space="preserve"> стоит отметить, что темп роста производительности труда составляет 36,47%. При этом, темп роста </w:t>
      </w:r>
      <w:proofErr w:type="spellStart"/>
      <w:r w:rsidRPr="00705216">
        <w:rPr>
          <w:color w:val="000000"/>
          <w:sz w:val="28"/>
          <w:szCs w:val="28"/>
        </w:rPr>
        <w:t>фондовооруженности</w:t>
      </w:r>
      <w:proofErr w:type="spellEnd"/>
      <w:r w:rsidRPr="00705216">
        <w:rPr>
          <w:color w:val="000000"/>
          <w:sz w:val="28"/>
          <w:szCs w:val="28"/>
        </w:rPr>
        <w:t xml:space="preserve"> составляет 41,33%. Причинами отставания темпов роста производительности труда от темпов роста </w:t>
      </w:r>
      <w:proofErr w:type="spellStart"/>
      <w:r w:rsidRPr="00705216">
        <w:rPr>
          <w:color w:val="000000"/>
          <w:sz w:val="28"/>
          <w:szCs w:val="28"/>
        </w:rPr>
        <w:t>фондовооруженности</w:t>
      </w:r>
      <w:proofErr w:type="spellEnd"/>
      <w:r w:rsidRPr="00705216">
        <w:rPr>
          <w:color w:val="000000"/>
          <w:sz w:val="28"/>
          <w:szCs w:val="28"/>
        </w:rPr>
        <w:t xml:space="preserve"> труда могут быть необоснованный рост ОПФ, особенно пассивной их части, изменение численности работников управления и др.</w:t>
      </w:r>
    </w:p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536" w:rsidRPr="00705216" w:rsidRDefault="00705216" w:rsidP="0070521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Задача 3</w:t>
      </w: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052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Условие:</w:t>
      </w:r>
    </w:p>
    <w:p w:rsidR="00B44536" w:rsidRPr="00705216" w:rsidRDefault="00B4453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Заполнить таблицу и сделать выводы</w:t>
      </w:r>
    </w:p>
    <w:p w:rsidR="00B44536" w:rsidRPr="00705216" w:rsidRDefault="00B44536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Таблица</w:t>
      </w:r>
    </w:p>
    <w:p w:rsidR="00B44536" w:rsidRPr="00705216" w:rsidRDefault="00B44536" w:rsidP="00705216">
      <w:pPr>
        <w:widowControl w:val="0"/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Анализ показателей эффективного использования материальных ресурсов предприятия</w:t>
      </w:r>
    </w:p>
    <w:tbl>
      <w:tblPr>
        <w:tblStyle w:val="1"/>
        <w:tblW w:w="0" w:type="auto"/>
        <w:tblInd w:w="0" w:type="dxa"/>
        <w:tblLook w:val="04A0"/>
      </w:tblPr>
      <w:tblGrid>
        <w:gridCol w:w="4219"/>
        <w:gridCol w:w="1418"/>
        <w:gridCol w:w="1541"/>
        <w:gridCol w:w="2393"/>
      </w:tblGrid>
      <w:tr w:rsidR="00B44536" w:rsidRPr="00B44536" w:rsidTr="007052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Изменения, +/-</w:t>
            </w:r>
          </w:p>
        </w:tc>
      </w:tr>
      <w:tr w:rsidR="00B44536" w:rsidRPr="00B44536" w:rsidTr="007052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Выпуск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100320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7052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Материальные затраты,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45600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7052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7052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Материалоемкость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5216">
        <w:rPr>
          <w:rFonts w:ascii="Times New Roman" w:hAnsi="Times New Roman"/>
          <w:b/>
          <w:i/>
          <w:sz w:val="28"/>
          <w:szCs w:val="28"/>
        </w:rPr>
        <w:t>Решение:</w:t>
      </w:r>
    </w:p>
    <w:p w:rsidR="00705216" w:rsidRPr="00705216" w:rsidRDefault="00705216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Таблица</w:t>
      </w:r>
    </w:p>
    <w:p w:rsidR="00705216" w:rsidRPr="00705216" w:rsidRDefault="00705216" w:rsidP="00705216">
      <w:pPr>
        <w:widowControl w:val="0"/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Анализ показателей эффективного использования материальных ресурсов предприятия</w:t>
      </w:r>
    </w:p>
    <w:tbl>
      <w:tblPr>
        <w:tblStyle w:val="1"/>
        <w:tblW w:w="0" w:type="auto"/>
        <w:tblInd w:w="0" w:type="dxa"/>
        <w:tblLook w:val="04A0"/>
      </w:tblPr>
      <w:tblGrid>
        <w:gridCol w:w="4219"/>
        <w:gridCol w:w="1418"/>
        <w:gridCol w:w="1541"/>
        <w:gridCol w:w="2393"/>
      </w:tblGrid>
      <w:tr w:rsidR="00705216" w:rsidRPr="00B44536" w:rsidTr="00543E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16" w:rsidRPr="00B44536" w:rsidRDefault="00705216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Изменения, +/-</w:t>
            </w:r>
          </w:p>
        </w:tc>
      </w:tr>
      <w:tr w:rsidR="00705216" w:rsidRPr="00B44536" w:rsidTr="00543E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16" w:rsidRPr="00B44536" w:rsidRDefault="00705216" w:rsidP="00543E22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Выпуск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80000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100320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20320</w:t>
            </w:r>
          </w:p>
        </w:tc>
      </w:tr>
      <w:tr w:rsidR="00705216" w:rsidRPr="00B44536" w:rsidTr="00543E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16" w:rsidRPr="00B44536" w:rsidRDefault="00705216" w:rsidP="00543E22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Материальные затраты,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36000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45600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9600</w:t>
            </w:r>
          </w:p>
        </w:tc>
      </w:tr>
      <w:tr w:rsidR="00705216" w:rsidRPr="00B44536" w:rsidTr="00543E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16" w:rsidRPr="00B44536" w:rsidRDefault="00705216" w:rsidP="00543E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2,222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2,200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-0,022</w:t>
            </w:r>
          </w:p>
        </w:tc>
      </w:tr>
      <w:tr w:rsidR="00705216" w:rsidRPr="00B44536" w:rsidTr="00543E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16" w:rsidRPr="00B44536" w:rsidRDefault="00705216" w:rsidP="00543E22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Материалоемкость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0,450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0,455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216" w:rsidRPr="00705216" w:rsidRDefault="00705216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705216">
              <w:rPr>
                <w:rFonts w:ascii="Times New Roman" w:hAnsi="Times New Roman"/>
                <w:sz w:val="24"/>
                <w:szCs w:val="16"/>
              </w:rPr>
              <w:t>0,005</w:t>
            </w:r>
          </w:p>
        </w:tc>
      </w:tr>
    </w:tbl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216" w:rsidRDefault="00063C8A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таблицы показывают, что выпуск продукции за отчетный год увеличился на 20320 тыс. руб., что говорит о росте продаже. </w:t>
      </w:r>
    </w:p>
    <w:p w:rsidR="00063C8A" w:rsidRDefault="00063C8A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Величина материальных затрат увеличилась на9600 тыс. руб., что свидетельствует об увеличении затрат на сырье и материалы.</w:t>
      </w:r>
    </w:p>
    <w:p w:rsidR="00705216" w:rsidRPr="00063C8A" w:rsidRDefault="00063C8A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Данные таблицы также показывают, что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063C8A">
        <w:rPr>
          <w:rFonts w:ascii="Times New Roman" w:hAnsi="Times New Roman"/>
          <w:bCs/>
          <w:sz w:val="28"/>
          <w:szCs w:val="28"/>
          <w:shd w:val="clear" w:color="auto" w:fill="FFFFFF"/>
        </w:rPr>
        <w:t>атериалоотдача</w:t>
      </w:r>
      <w:proofErr w:type="spellEnd"/>
      <w:r w:rsidRPr="00063C8A">
        <w:rPr>
          <w:rFonts w:ascii="Times New Roman" w:hAnsi="Times New Roman"/>
          <w:sz w:val="28"/>
          <w:szCs w:val="28"/>
          <w:shd w:val="clear" w:color="auto" w:fill="FFFFFF"/>
        </w:rPr>
        <w:t xml:space="preserve"> снизилась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0,022</w:t>
      </w:r>
      <w:r w:rsidRPr="00063C8A">
        <w:rPr>
          <w:rFonts w:ascii="Times New Roman" w:hAnsi="Times New Roman"/>
          <w:sz w:val="28"/>
          <w:szCs w:val="28"/>
          <w:shd w:val="clear" w:color="auto" w:fill="FFFFFF"/>
        </w:rPr>
        <w:t xml:space="preserve">, а материалоемкость к концу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 увеличилась и</w:t>
      </w:r>
      <w:r w:rsidRPr="00063C8A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составила </w:t>
      </w:r>
      <w:r>
        <w:rPr>
          <w:rFonts w:ascii="Times New Roman" w:hAnsi="Times New Roman"/>
          <w:sz w:val="28"/>
          <w:szCs w:val="28"/>
          <w:shd w:val="clear" w:color="auto" w:fill="FFFFFF"/>
        </w:rPr>
        <w:t>0,455</w:t>
      </w:r>
      <w:r w:rsidRPr="00063C8A">
        <w:rPr>
          <w:rFonts w:ascii="Times New Roman" w:hAnsi="Times New Roman"/>
          <w:sz w:val="28"/>
          <w:szCs w:val="28"/>
          <w:shd w:val="clear" w:color="auto" w:fill="FFFFFF"/>
        </w:rPr>
        <w:t xml:space="preserve"> рубля. Это говорит о неэффект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ивности использования материальных ресурсов</w:t>
      </w:r>
      <w:r w:rsidRPr="00063C8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63C8A" w:rsidRDefault="00063C8A" w:rsidP="0070521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4536" w:rsidRPr="00705216" w:rsidRDefault="00705216" w:rsidP="0070521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4</w:t>
      </w: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052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Условие:</w:t>
      </w:r>
    </w:p>
    <w:p w:rsidR="00B44536" w:rsidRPr="00705216" w:rsidRDefault="00B4453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Заполнить таблицу, сделать факторный анализ и выводы.</w:t>
      </w:r>
    </w:p>
    <w:p w:rsidR="004E7A8B" w:rsidRDefault="004E7A8B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44536" w:rsidRPr="00705216" w:rsidRDefault="00B44536" w:rsidP="00705216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lastRenderedPageBreak/>
        <w:t>Таблица</w:t>
      </w:r>
    </w:p>
    <w:p w:rsidR="00B44536" w:rsidRPr="00705216" w:rsidRDefault="00B44536" w:rsidP="00705216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Данные для факторного анализа прибыли на рубль материальных затрат</w:t>
      </w:r>
    </w:p>
    <w:tbl>
      <w:tblPr>
        <w:tblStyle w:val="2"/>
        <w:tblW w:w="0" w:type="auto"/>
        <w:tblLook w:val="04A0"/>
      </w:tblPr>
      <w:tblGrid>
        <w:gridCol w:w="4503"/>
        <w:gridCol w:w="1559"/>
        <w:gridCol w:w="1559"/>
        <w:gridCol w:w="1950"/>
      </w:tblGrid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Изменения, +/-</w:t>
            </w:r>
          </w:p>
        </w:tc>
      </w:tr>
      <w:bookmarkEnd w:id="0"/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Прибыль от реализации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Выручка от реализации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97000</w:t>
            </w: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Выпуск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Материальные затраты,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46000</w:t>
            </w: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  <w:proofErr w:type="spellEnd"/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Материалоемкость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Рентабельность оборота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Доля выручки в общем объеме выпуска продукции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0A0190">
        <w:tc>
          <w:tcPr>
            <w:tcW w:w="450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Прибыль на 1 руб. материальных затрат</w:t>
            </w: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B44536" w:rsidRPr="00B44536" w:rsidRDefault="00B44536" w:rsidP="00705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216" w:rsidRP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5216">
        <w:rPr>
          <w:rFonts w:ascii="Times New Roman" w:hAnsi="Times New Roman"/>
          <w:b/>
          <w:i/>
          <w:sz w:val="28"/>
          <w:szCs w:val="28"/>
        </w:rPr>
        <w:t>Решение:</w:t>
      </w:r>
    </w:p>
    <w:p w:rsidR="00063C8A" w:rsidRPr="00705216" w:rsidRDefault="00063C8A" w:rsidP="00063C8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Таблица</w:t>
      </w:r>
    </w:p>
    <w:p w:rsidR="00063C8A" w:rsidRPr="00705216" w:rsidRDefault="00063C8A" w:rsidP="00063C8A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05216">
        <w:rPr>
          <w:rFonts w:ascii="Times New Roman" w:hAnsi="Times New Roman"/>
          <w:sz w:val="28"/>
          <w:szCs w:val="28"/>
        </w:rPr>
        <w:t>Данные для факторного анализа прибыли на рубль материальных затрат</w:t>
      </w:r>
    </w:p>
    <w:tbl>
      <w:tblPr>
        <w:tblStyle w:val="2"/>
        <w:tblW w:w="0" w:type="auto"/>
        <w:tblLook w:val="04A0"/>
      </w:tblPr>
      <w:tblGrid>
        <w:gridCol w:w="4503"/>
        <w:gridCol w:w="1559"/>
        <w:gridCol w:w="1559"/>
        <w:gridCol w:w="1950"/>
      </w:tblGrid>
      <w:tr w:rsidR="00063C8A" w:rsidRPr="00B44536" w:rsidTr="000A0190">
        <w:tc>
          <w:tcPr>
            <w:tcW w:w="4503" w:type="dxa"/>
          </w:tcPr>
          <w:p w:rsidR="00063C8A" w:rsidRPr="00B44536" w:rsidRDefault="00063C8A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063C8A" w:rsidRPr="00B44536" w:rsidRDefault="00063C8A" w:rsidP="00543E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</w:tc>
        <w:tc>
          <w:tcPr>
            <w:tcW w:w="1559" w:type="dxa"/>
            <w:vAlign w:val="center"/>
          </w:tcPr>
          <w:p w:rsidR="00063C8A" w:rsidRPr="00B44536" w:rsidRDefault="00063C8A" w:rsidP="00543E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1950" w:type="dxa"/>
            <w:vAlign w:val="center"/>
          </w:tcPr>
          <w:p w:rsidR="00063C8A" w:rsidRPr="00B44536" w:rsidRDefault="00063C8A" w:rsidP="00543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Изменения, +/-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Прибыль от реализации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Выручка от реализации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97000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Выпуск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Материальные затраты,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46000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руб. (п.3/п.4)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2,222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2,174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-0,048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Материалоемкость</w:t>
            </w:r>
            <w:r>
              <w:rPr>
                <w:rFonts w:ascii="Times New Roman" w:hAnsi="Times New Roman"/>
                <w:sz w:val="24"/>
                <w:szCs w:val="24"/>
              </w:rPr>
              <w:t>, руб. (п.4/п.3)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0,450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0,460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0,010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Рентабельность оборота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(п.1/п.2)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0,188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0,186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-0,003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Доля выручки в общем объеме выпуска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(п.2/п.3)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-0,09</w:t>
            </w:r>
          </w:p>
        </w:tc>
      </w:tr>
      <w:tr w:rsidR="000A0190" w:rsidRPr="00B44536" w:rsidTr="000A0190">
        <w:tc>
          <w:tcPr>
            <w:tcW w:w="4503" w:type="dxa"/>
          </w:tcPr>
          <w:p w:rsidR="000A0190" w:rsidRPr="00B44536" w:rsidRDefault="000A0190" w:rsidP="00543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Прибыль на 1 руб. материальных затрат</w:t>
            </w:r>
            <w:r>
              <w:rPr>
                <w:rFonts w:ascii="Times New Roman" w:hAnsi="Times New Roman"/>
                <w:sz w:val="24"/>
                <w:szCs w:val="24"/>
              </w:rPr>
              <w:t>, коп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.1/п.4)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  <w:tc>
          <w:tcPr>
            <w:tcW w:w="1559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0,391</w:t>
            </w:r>
          </w:p>
        </w:tc>
        <w:tc>
          <w:tcPr>
            <w:tcW w:w="1950" w:type="dxa"/>
            <w:vAlign w:val="center"/>
          </w:tcPr>
          <w:p w:rsidR="000A0190" w:rsidRPr="000A0190" w:rsidRDefault="000A0190" w:rsidP="000A0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90">
              <w:rPr>
                <w:rFonts w:ascii="Times New Roman" w:hAnsi="Times New Roman"/>
                <w:sz w:val="24"/>
                <w:szCs w:val="24"/>
              </w:rPr>
              <w:t>-0,053</w:t>
            </w:r>
          </w:p>
        </w:tc>
      </w:tr>
    </w:tbl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216" w:rsidRDefault="00543E22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факторного анализа </w:t>
      </w:r>
      <w:r w:rsidRPr="00705216">
        <w:rPr>
          <w:rFonts w:ascii="Times New Roman" w:hAnsi="Times New Roman"/>
          <w:sz w:val="28"/>
          <w:szCs w:val="28"/>
        </w:rPr>
        <w:t>прибыли на рубль материальных затрат</w:t>
      </w:r>
      <w:r>
        <w:rPr>
          <w:rFonts w:ascii="Times New Roman" w:hAnsi="Times New Roman"/>
          <w:sz w:val="28"/>
          <w:szCs w:val="28"/>
        </w:rPr>
        <w:t xml:space="preserve"> воспользуемся следующей факторной моделью:</w:t>
      </w:r>
    </w:p>
    <w:p w:rsidR="00543E22" w:rsidRPr="00543E22" w:rsidRDefault="00543E22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МЗ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ВП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ВП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МЗ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рп*Дв*МО</m:t>
          </m:r>
        </m:oMath>
      </m:oMathPara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43E22">
        <w:rPr>
          <w:rFonts w:ascii="Times New Roman" w:hAnsi="Times New Roman"/>
          <w:sz w:val="28"/>
        </w:rPr>
        <w:t xml:space="preserve">где </w:t>
      </w:r>
      <w:proofErr w:type="gramStart"/>
      <w:r w:rsidRPr="00543E22">
        <w:rPr>
          <w:rFonts w:ascii="Times New Roman" w:hAnsi="Times New Roman"/>
          <w:sz w:val="28"/>
        </w:rPr>
        <w:t>П</w:t>
      </w:r>
      <w:proofErr w:type="gramEnd"/>
      <w:r w:rsidRPr="00543E22">
        <w:rPr>
          <w:rFonts w:ascii="Times New Roman" w:hAnsi="Times New Roman"/>
          <w:sz w:val="28"/>
        </w:rPr>
        <w:t xml:space="preserve"> – прибыль от реализации продукции;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543E22">
        <w:rPr>
          <w:rFonts w:ascii="Times New Roman" w:hAnsi="Times New Roman"/>
          <w:sz w:val="28"/>
        </w:rPr>
        <w:t>В</w:t>
      </w:r>
      <w:proofErr w:type="gramEnd"/>
      <w:r w:rsidRPr="00543E22">
        <w:rPr>
          <w:rFonts w:ascii="Times New Roman" w:hAnsi="Times New Roman"/>
          <w:sz w:val="28"/>
        </w:rPr>
        <w:t xml:space="preserve"> – </w:t>
      </w:r>
      <w:proofErr w:type="gramStart"/>
      <w:r w:rsidRPr="00543E22">
        <w:rPr>
          <w:rFonts w:ascii="Times New Roman" w:hAnsi="Times New Roman"/>
          <w:sz w:val="28"/>
        </w:rPr>
        <w:t>выручка</w:t>
      </w:r>
      <w:proofErr w:type="gramEnd"/>
      <w:r w:rsidRPr="00543E22">
        <w:rPr>
          <w:rFonts w:ascii="Times New Roman" w:hAnsi="Times New Roman"/>
          <w:sz w:val="28"/>
        </w:rPr>
        <w:t xml:space="preserve"> от реализации продукции;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543E22">
        <w:rPr>
          <w:rFonts w:ascii="Times New Roman" w:hAnsi="Times New Roman"/>
          <w:sz w:val="28"/>
        </w:rPr>
        <w:t>R</w:t>
      </w:r>
      <w:proofErr w:type="gramEnd"/>
      <w:r>
        <w:rPr>
          <w:rFonts w:ascii="Times New Roman" w:hAnsi="Times New Roman"/>
          <w:sz w:val="28"/>
        </w:rPr>
        <w:t>рп</w:t>
      </w:r>
      <w:proofErr w:type="spellEnd"/>
      <w:r>
        <w:rPr>
          <w:rFonts w:ascii="Times New Roman" w:hAnsi="Times New Roman"/>
          <w:sz w:val="28"/>
        </w:rPr>
        <w:t xml:space="preserve"> –</w:t>
      </w:r>
      <w:r w:rsidRPr="00543E22">
        <w:rPr>
          <w:rFonts w:ascii="Times New Roman" w:hAnsi="Times New Roman"/>
          <w:sz w:val="28"/>
        </w:rPr>
        <w:t xml:space="preserve"> рентабельность оборота;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543E22">
        <w:rPr>
          <w:rFonts w:ascii="Times New Roman" w:hAnsi="Times New Roman"/>
          <w:sz w:val="28"/>
        </w:rPr>
        <w:lastRenderedPageBreak/>
        <w:t>Дв</w:t>
      </w:r>
      <w:proofErr w:type="spellEnd"/>
      <w:r>
        <w:rPr>
          <w:rFonts w:ascii="Times New Roman" w:hAnsi="Times New Roman"/>
          <w:sz w:val="28"/>
        </w:rPr>
        <w:t> –</w:t>
      </w:r>
      <w:r w:rsidRPr="00543E22">
        <w:rPr>
          <w:rFonts w:ascii="Times New Roman" w:hAnsi="Times New Roman"/>
          <w:sz w:val="28"/>
        </w:rPr>
        <w:t xml:space="preserve"> доля выручки в общем объеме выпуска товарной продукции; 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 –</w:t>
      </w:r>
      <w:r w:rsidRPr="00543E22">
        <w:rPr>
          <w:rFonts w:ascii="Times New Roman" w:hAnsi="Times New Roman"/>
          <w:sz w:val="28"/>
        </w:rPr>
        <w:t xml:space="preserve"> </w:t>
      </w:r>
      <w:proofErr w:type="spellStart"/>
      <w:r w:rsidRPr="00543E22">
        <w:rPr>
          <w:rFonts w:ascii="Times New Roman" w:hAnsi="Times New Roman"/>
          <w:sz w:val="28"/>
        </w:rPr>
        <w:t>материалоотдача</w:t>
      </w:r>
      <w:proofErr w:type="spellEnd"/>
      <w:r w:rsidRPr="00543E22">
        <w:rPr>
          <w:rFonts w:ascii="Times New Roman" w:hAnsi="Times New Roman"/>
          <w:sz w:val="28"/>
        </w:rPr>
        <w:t>.</w:t>
      </w:r>
    </w:p>
    <w:p w:rsid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43E22">
        <w:rPr>
          <w:rFonts w:ascii="Times New Roman" w:hAnsi="Times New Roman"/>
          <w:sz w:val="28"/>
        </w:rPr>
        <w:t xml:space="preserve">Проведем факторный анализ способом </w:t>
      </w:r>
      <w:proofErr w:type="gramStart"/>
      <w:r w:rsidRPr="00543E22">
        <w:rPr>
          <w:rFonts w:ascii="Times New Roman" w:hAnsi="Times New Roman"/>
          <w:sz w:val="28"/>
        </w:rPr>
        <w:t>абсолютных</w:t>
      </w:r>
      <w:proofErr w:type="gramEnd"/>
      <w:r w:rsidRPr="00543E22">
        <w:rPr>
          <w:rFonts w:ascii="Times New Roman" w:hAnsi="Times New Roman"/>
          <w:sz w:val="28"/>
        </w:rPr>
        <w:t xml:space="preserve"> </w:t>
      </w:r>
      <w:proofErr w:type="spellStart"/>
      <w:r w:rsidRPr="00543E22">
        <w:rPr>
          <w:rFonts w:ascii="Times New Roman" w:hAnsi="Times New Roman"/>
          <w:sz w:val="28"/>
        </w:rPr>
        <w:t>разниц</w:t>
      </w:r>
      <w:r>
        <w:rPr>
          <w:rFonts w:ascii="Times New Roman" w:hAnsi="Times New Roman"/>
          <w:sz w:val="28"/>
        </w:rPr>
        <w:t>.</w:t>
      </w:r>
      <w:proofErr w:type="spellEnd"/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43E22">
        <w:rPr>
          <w:rFonts w:ascii="Times New Roman" w:hAnsi="Times New Roman"/>
          <w:sz w:val="28"/>
        </w:rPr>
        <w:t xml:space="preserve">Фактически прибыль на рубль материальных затрат снизилась на </w:t>
      </w:r>
      <w:r>
        <w:rPr>
          <w:rFonts w:ascii="Times New Roman" w:hAnsi="Times New Roman"/>
          <w:sz w:val="28"/>
        </w:rPr>
        <w:t>0,053</w:t>
      </w:r>
      <w:r w:rsidRPr="00543E22">
        <w:rPr>
          <w:rFonts w:ascii="Times New Roman" w:hAnsi="Times New Roman"/>
          <w:sz w:val="28"/>
        </w:rPr>
        <w:t xml:space="preserve"> коп</w:t>
      </w:r>
      <w:proofErr w:type="gramStart"/>
      <w:r w:rsidRPr="00543E2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</w:t>
      </w:r>
      <w:r w:rsidRPr="00543E22">
        <w:rPr>
          <w:rFonts w:ascii="Times New Roman" w:hAnsi="Times New Roman"/>
          <w:sz w:val="28"/>
        </w:rPr>
        <w:t xml:space="preserve"> </w:t>
      </w:r>
      <w:proofErr w:type="gramEnd"/>
      <w:r w:rsidRPr="00543E22">
        <w:rPr>
          <w:rFonts w:ascii="Times New Roman" w:hAnsi="Times New Roman"/>
          <w:sz w:val="28"/>
        </w:rPr>
        <w:t>в том числе за счет изменения:</w:t>
      </w:r>
    </w:p>
    <w:p w:rsid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43E22">
        <w:rPr>
          <w:rFonts w:ascii="Times New Roman" w:hAnsi="Times New Roman"/>
          <w:sz w:val="28"/>
        </w:rPr>
        <w:t xml:space="preserve">рентабельности </w:t>
      </w:r>
      <w:r>
        <w:rPr>
          <w:rFonts w:ascii="Times New Roman" w:hAnsi="Times New Roman"/>
          <w:sz w:val="28"/>
        </w:rPr>
        <w:t>оборота</w:t>
      </w:r>
      <w:r w:rsidRPr="00543E22">
        <w:rPr>
          <w:rFonts w:ascii="Times New Roman" w:hAnsi="Times New Roman"/>
          <w:sz w:val="28"/>
        </w:rPr>
        <w:t>: 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44"/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/МЗ (</w:t>
      </w:r>
      <w:r>
        <w:rPr>
          <w:rFonts w:ascii="Times New Roman" w:hAnsi="Times New Roman"/>
          <w:sz w:val="28"/>
          <w:lang w:val="en-GB"/>
        </w:rPr>
        <w:t>R</w:t>
      </w:r>
      <w:proofErr w:type="spellStart"/>
      <w:r>
        <w:rPr>
          <w:rFonts w:ascii="Times New Roman" w:hAnsi="Times New Roman"/>
          <w:sz w:val="28"/>
        </w:rPr>
        <w:t>рп</w:t>
      </w:r>
      <w:proofErr w:type="spellEnd"/>
      <w:r>
        <w:rPr>
          <w:rFonts w:ascii="Times New Roman" w:hAnsi="Times New Roman"/>
          <w:sz w:val="28"/>
        </w:rPr>
        <w:t xml:space="preserve">) =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  <w:lang w:val="en-GB"/>
        </w:rPr>
        <w:t>R</w:t>
      </w:r>
      <w:proofErr w:type="spellStart"/>
      <w:r>
        <w:rPr>
          <w:rFonts w:ascii="Times New Roman" w:hAnsi="Times New Roman"/>
          <w:sz w:val="28"/>
        </w:rPr>
        <w:t>рп</w:t>
      </w:r>
      <w:proofErr w:type="spellEnd"/>
      <w:r>
        <w:rPr>
          <w:rFonts w:ascii="Times New Roman" w:hAnsi="Times New Roman"/>
          <w:sz w:val="28"/>
        </w:rPr>
        <w:t xml:space="preserve"> * Дв0 * МО0 = (0,186 + 0,188) * 1,06 * 2,222 = -0,006 коп.</w:t>
      </w:r>
    </w:p>
    <w:p w:rsid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43E22">
        <w:rPr>
          <w:rFonts w:ascii="Times New Roman" w:hAnsi="Times New Roman"/>
          <w:sz w:val="28"/>
        </w:rPr>
        <w:t>доли выручки в общем объеме выпуска продукции: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44"/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/МЗ (</w:t>
      </w:r>
      <w:proofErr w:type="spellStart"/>
      <w:r>
        <w:rPr>
          <w:rFonts w:ascii="Times New Roman" w:hAnsi="Times New Roman"/>
          <w:sz w:val="28"/>
        </w:rPr>
        <w:t>Дв</w:t>
      </w:r>
      <w:proofErr w:type="spellEnd"/>
      <w:r>
        <w:rPr>
          <w:rFonts w:ascii="Times New Roman" w:hAnsi="Times New Roman"/>
          <w:sz w:val="28"/>
        </w:rPr>
        <w:t xml:space="preserve">) = </w:t>
      </w:r>
      <w:r>
        <w:rPr>
          <w:rFonts w:ascii="Times New Roman" w:hAnsi="Times New Roman"/>
          <w:sz w:val="28"/>
          <w:lang w:val="en-GB"/>
        </w:rPr>
        <w:t>R</w:t>
      </w:r>
      <w:r>
        <w:rPr>
          <w:rFonts w:ascii="Times New Roman" w:hAnsi="Times New Roman"/>
          <w:sz w:val="28"/>
        </w:rPr>
        <w:t xml:space="preserve">рп1 * </w:t>
      </w:r>
      <w:r>
        <w:rPr>
          <w:rFonts w:ascii="Times New Roman" w:hAnsi="Times New Roman"/>
          <w:sz w:val="28"/>
        </w:rPr>
        <w:sym w:font="Symbol" w:char="F044"/>
      </w:r>
      <w:proofErr w:type="spellStart"/>
      <w:r>
        <w:rPr>
          <w:rFonts w:ascii="Times New Roman" w:hAnsi="Times New Roman"/>
          <w:sz w:val="28"/>
        </w:rPr>
        <w:t>Дв</w:t>
      </w:r>
      <w:proofErr w:type="spellEnd"/>
      <w:r>
        <w:rPr>
          <w:rFonts w:ascii="Times New Roman" w:hAnsi="Times New Roman"/>
          <w:sz w:val="28"/>
        </w:rPr>
        <w:t xml:space="preserve"> * МО0 = 0,186 * (0,97 – 1,06) * 2,222 = -0,038 коп.</w:t>
      </w:r>
    </w:p>
    <w:p w:rsid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543E22">
        <w:rPr>
          <w:rFonts w:ascii="Times New Roman" w:hAnsi="Times New Roman"/>
          <w:sz w:val="28"/>
        </w:rPr>
        <w:t>материалоотдачи</w:t>
      </w:r>
      <w:proofErr w:type="spellEnd"/>
      <w:r w:rsidRPr="00543E22">
        <w:rPr>
          <w:rFonts w:ascii="Times New Roman" w:hAnsi="Times New Roman"/>
          <w:sz w:val="28"/>
        </w:rPr>
        <w:t>: 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44"/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/МЗ (МО) = </w:t>
      </w:r>
      <w:r>
        <w:rPr>
          <w:rFonts w:ascii="Times New Roman" w:hAnsi="Times New Roman"/>
          <w:sz w:val="28"/>
          <w:lang w:val="en-GB"/>
        </w:rPr>
        <w:t>R</w:t>
      </w:r>
      <w:r>
        <w:rPr>
          <w:rFonts w:ascii="Times New Roman" w:hAnsi="Times New Roman"/>
          <w:sz w:val="28"/>
        </w:rPr>
        <w:t xml:space="preserve">рп1 * Дв1 *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</w:rPr>
        <w:t>МО = 0,186 * 0,97 * (2,174 – 2,222) = -0,009 коп.</w:t>
      </w:r>
    </w:p>
    <w:p w:rsid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влияние факторов составит:</w:t>
      </w:r>
    </w:p>
    <w:p w:rsid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44"/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/МЗ =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</w:rPr>
        <w:t>П/МЗ (</w:t>
      </w:r>
      <w:r>
        <w:rPr>
          <w:rFonts w:ascii="Times New Roman" w:hAnsi="Times New Roman"/>
          <w:sz w:val="28"/>
          <w:lang w:val="en-GB"/>
        </w:rPr>
        <w:t>R</w:t>
      </w:r>
      <w:proofErr w:type="spellStart"/>
      <w:r>
        <w:rPr>
          <w:rFonts w:ascii="Times New Roman" w:hAnsi="Times New Roman"/>
          <w:sz w:val="28"/>
        </w:rPr>
        <w:t>рп</w:t>
      </w:r>
      <w:proofErr w:type="spellEnd"/>
      <w:r>
        <w:rPr>
          <w:rFonts w:ascii="Times New Roman" w:hAnsi="Times New Roman"/>
          <w:sz w:val="28"/>
        </w:rPr>
        <w:t>) +</w:t>
      </w:r>
      <w:r w:rsidRPr="00543E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</w:rPr>
        <w:t>П/МЗ (</w:t>
      </w:r>
      <w:proofErr w:type="spellStart"/>
      <w:r>
        <w:rPr>
          <w:rFonts w:ascii="Times New Roman" w:hAnsi="Times New Roman"/>
          <w:sz w:val="28"/>
        </w:rPr>
        <w:t>Дв</w:t>
      </w:r>
      <w:proofErr w:type="spellEnd"/>
      <w:r>
        <w:rPr>
          <w:rFonts w:ascii="Times New Roman" w:hAnsi="Times New Roman"/>
          <w:sz w:val="28"/>
        </w:rPr>
        <w:t xml:space="preserve">) +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</w:rPr>
        <w:t>П/МЗ (МО) = -0,006 + (-0,038) + (-0,009) = -0,053</w:t>
      </w:r>
    </w:p>
    <w:p w:rsidR="00543E22" w:rsidRPr="00543E22" w:rsidRDefault="00543E22" w:rsidP="00543E2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за счет снижения рентабельности оборота на 0,3% прибыль на 1 рубль материальных затрат уменьшилась на 0,006 коп.; за счет уменьшения доли </w:t>
      </w:r>
      <w:r w:rsidRPr="00543E22">
        <w:rPr>
          <w:rFonts w:ascii="Times New Roman" w:hAnsi="Times New Roman"/>
          <w:sz w:val="28"/>
        </w:rPr>
        <w:t>выручки в общем объеме выпуска продукции</w:t>
      </w:r>
      <w:r>
        <w:rPr>
          <w:rFonts w:ascii="Times New Roman" w:hAnsi="Times New Roman"/>
          <w:sz w:val="28"/>
        </w:rPr>
        <w:t xml:space="preserve"> на 9% прибыль на 1 рубль материальных затрат снизилась на 0,038 коп.; за счет снижения </w:t>
      </w:r>
      <w:proofErr w:type="spellStart"/>
      <w:r>
        <w:rPr>
          <w:rFonts w:ascii="Times New Roman" w:hAnsi="Times New Roman"/>
          <w:sz w:val="28"/>
        </w:rPr>
        <w:t>материалоотдачи</w:t>
      </w:r>
      <w:proofErr w:type="spellEnd"/>
      <w:r>
        <w:rPr>
          <w:rFonts w:ascii="Times New Roman" w:hAnsi="Times New Roman"/>
          <w:sz w:val="28"/>
        </w:rPr>
        <w:t xml:space="preserve"> на 0,048 коп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рибыль на 1 рубль материальных затрат снизилась на 0,009 коп. Следовательно, можно отметить, что абсолютно все факторы оказали негативное влияние на изменение прибыли на рубль материальных затрат, т.к. </w:t>
      </w:r>
      <w:proofErr w:type="gramStart"/>
      <w:r>
        <w:rPr>
          <w:rFonts w:ascii="Times New Roman" w:hAnsi="Times New Roman"/>
          <w:sz w:val="28"/>
        </w:rPr>
        <w:t>последняя</w:t>
      </w:r>
      <w:proofErr w:type="gramEnd"/>
      <w:r>
        <w:rPr>
          <w:rFonts w:ascii="Times New Roman" w:hAnsi="Times New Roman"/>
          <w:sz w:val="28"/>
        </w:rPr>
        <w:t xml:space="preserve"> снизилась за отчетный год на 0,053 коп.</w:t>
      </w:r>
    </w:p>
    <w:p w:rsidR="00705216" w:rsidRDefault="00705216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E22" w:rsidRDefault="00543E22" w:rsidP="007052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E22" w:rsidRPr="00543E22" w:rsidRDefault="00543E22" w:rsidP="00543E22">
      <w:pPr>
        <w:pageBreakBefore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43E22"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</w:t>
      </w:r>
    </w:p>
    <w:p w:rsidR="000A0190" w:rsidRDefault="000A0190" w:rsidP="000A019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A0190" w:rsidRPr="00F475DF" w:rsidRDefault="000A0190" w:rsidP="000A0190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75DF">
        <w:rPr>
          <w:rFonts w:ascii="Times New Roman" w:hAnsi="Times New Roman"/>
          <w:spacing w:val="-2"/>
          <w:sz w:val="28"/>
          <w:szCs w:val="28"/>
        </w:rPr>
        <w:t>Бороненкова</w:t>
      </w:r>
      <w:proofErr w:type="spellEnd"/>
      <w:r w:rsidRPr="00F475DF">
        <w:rPr>
          <w:rFonts w:ascii="Times New Roman" w:hAnsi="Times New Roman"/>
          <w:spacing w:val="-2"/>
          <w:sz w:val="28"/>
          <w:szCs w:val="28"/>
        </w:rPr>
        <w:t>, С.А. Комплексный экономический анализ  в  управлении предприятием</w:t>
      </w:r>
      <w:proofErr w:type="gramStart"/>
      <w:r w:rsidRPr="00F475DF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F475DF">
        <w:rPr>
          <w:rFonts w:ascii="Times New Roman" w:hAnsi="Times New Roman"/>
          <w:spacing w:val="-2"/>
          <w:sz w:val="28"/>
          <w:szCs w:val="28"/>
        </w:rPr>
        <w:t xml:space="preserve"> учебное пособие / С.А. </w:t>
      </w:r>
      <w:proofErr w:type="spellStart"/>
      <w:r w:rsidRPr="00F475DF">
        <w:rPr>
          <w:rFonts w:ascii="Times New Roman" w:hAnsi="Times New Roman"/>
          <w:spacing w:val="-2"/>
          <w:sz w:val="28"/>
          <w:szCs w:val="28"/>
        </w:rPr>
        <w:t>Бороненкова</w:t>
      </w:r>
      <w:proofErr w:type="spellEnd"/>
      <w:r w:rsidRPr="00F475DF">
        <w:rPr>
          <w:rFonts w:ascii="Times New Roman" w:hAnsi="Times New Roman"/>
          <w:spacing w:val="-2"/>
          <w:sz w:val="28"/>
          <w:szCs w:val="28"/>
        </w:rPr>
        <w:t>, М. В. Мельник. – Москва</w:t>
      </w:r>
      <w:proofErr w:type="gramStart"/>
      <w:r w:rsidRPr="00F475DF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F475DF">
        <w:rPr>
          <w:rFonts w:ascii="Times New Roman" w:hAnsi="Times New Roman"/>
          <w:spacing w:val="-2"/>
          <w:sz w:val="28"/>
          <w:szCs w:val="28"/>
        </w:rPr>
        <w:t xml:space="preserve"> ФОРУМ</w:t>
      </w:r>
      <w:proofErr w:type="gramStart"/>
      <w:r w:rsidRPr="00F475DF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F475DF">
        <w:rPr>
          <w:rFonts w:ascii="Times New Roman" w:hAnsi="Times New Roman"/>
          <w:spacing w:val="-2"/>
          <w:sz w:val="28"/>
          <w:szCs w:val="28"/>
        </w:rPr>
        <w:t xml:space="preserve"> ИНФРА – М, 2016. – 352 с. </w:t>
      </w:r>
    </w:p>
    <w:p w:rsidR="000A0190" w:rsidRPr="00F475DF" w:rsidRDefault="000A0190" w:rsidP="000A0190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Ref516236038"/>
      <w:r w:rsidRPr="00F475DF">
        <w:rPr>
          <w:rFonts w:ascii="Times New Roman" w:hAnsi="Times New Roman"/>
          <w:color w:val="000000" w:themeColor="text1"/>
          <w:sz w:val="28"/>
          <w:szCs w:val="28"/>
        </w:rPr>
        <w:t>Губина, О. В. Анализ финансово-хозяйственной деятельности: учебник / О. В. Губина, В. Е. </w:t>
      </w:r>
      <w:proofErr w:type="spellStart"/>
      <w:r w:rsidRPr="00F475DF">
        <w:rPr>
          <w:rFonts w:ascii="Times New Roman" w:hAnsi="Times New Roman"/>
          <w:color w:val="000000" w:themeColor="text1"/>
          <w:sz w:val="28"/>
          <w:szCs w:val="28"/>
        </w:rPr>
        <w:t>Губин</w:t>
      </w:r>
      <w:proofErr w:type="spellEnd"/>
      <w:r w:rsidRPr="00F475DF">
        <w:rPr>
          <w:rFonts w:ascii="Times New Roman" w:hAnsi="Times New Roman"/>
          <w:color w:val="000000" w:themeColor="text1"/>
          <w:sz w:val="28"/>
          <w:szCs w:val="28"/>
        </w:rPr>
        <w:t xml:space="preserve">. – 2-е изд., </w:t>
      </w:r>
      <w:proofErr w:type="spellStart"/>
      <w:r w:rsidRPr="00F475DF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F475DF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М.: ИД «ФОРУМ»: ИНФРА-М, 2018. – 335 с. </w:t>
      </w:r>
      <w:bookmarkEnd w:id="1"/>
    </w:p>
    <w:p w:rsidR="000A0190" w:rsidRPr="00F475DF" w:rsidRDefault="000A0190" w:rsidP="000A0190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Ref516236237"/>
      <w:proofErr w:type="spellStart"/>
      <w:r w:rsidRPr="00F475DF">
        <w:rPr>
          <w:rFonts w:ascii="Times New Roman" w:hAnsi="Times New Roman"/>
          <w:color w:val="000000" w:themeColor="text1"/>
          <w:sz w:val="28"/>
          <w:szCs w:val="28"/>
        </w:rPr>
        <w:t>Канке</w:t>
      </w:r>
      <w:proofErr w:type="spellEnd"/>
      <w:r w:rsidRPr="00F475DF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75DF">
        <w:rPr>
          <w:rFonts w:ascii="Times New Roman" w:hAnsi="Times New Roman"/>
          <w:color w:val="000000" w:themeColor="text1"/>
          <w:sz w:val="28"/>
          <w:szCs w:val="28"/>
        </w:rPr>
        <w:t>А. А. Анализ финансово-хозяйственной деятельности предприятия: Учебное пособие / А. А.</w:t>
      </w:r>
      <w:r w:rsidRPr="00F475DF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F475DF">
        <w:rPr>
          <w:rFonts w:ascii="Times New Roman" w:hAnsi="Times New Roman"/>
          <w:color w:val="000000" w:themeColor="text1"/>
          <w:sz w:val="28"/>
          <w:szCs w:val="28"/>
        </w:rPr>
        <w:t>Канке</w:t>
      </w:r>
      <w:proofErr w:type="spellEnd"/>
      <w:r w:rsidRPr="00F475DF">
        <w:rPr>
          <w:rFonts w:ascii="Times New Roman" w:hAnsi="Times New Roman"/>
          <w:color w:val="000000" w:themeColor="text1"/>
          <w:sz w:val="28"/>
          <w:szCs w:val="28"/>
        </w:rPr>
        <w:t>, И. П.</w:t>
      </w:r>
      <w:r w:rsidRPr="00F475DF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proofErr w:type="gramStart"/>
      <w:r w:rsidRPr="00F475DF">
        <w:rPr>
          <w:rFonts w:ascii="Times New Roman" w:hAnsi="Times New Roman"/>
          <w:color w:val="000000" w:themeColor="text1"/>
          <w:sz w:val="28"/>
          <w:szCs w:val="28"/>
        </w:rPr>
        <w:t>Кошевая</w:t>
      </w:r>
      <w:proofErr w:type="gramEnd"/>
      <w:r w:rsidRPr="00F475DF">
        <w:rPr>
          <w:rFonts w:ascii="Times New Roman" w:hAnsi="Times New Roman"/>
          <w:color w:val="000000" w:themeColor="text1"/>
          <w:sz w:val="28"/>
          <w:szCs w:val="28"/>
        </w:rPr>
        <w:t xml:space="preserve">. – 2-е изд., </w:t>
      </w:r>
      <w:proofErr w:type="spellStart"/>
      <w:r w:rsidRPr="00F475DF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F475DF">
        <w:rPr>
          <w:rFonts w:ascii="Times New Roman" w:hAnsi="Times New Roman"/>
          <w:color w:val="000000" w:themeColor="text1"/>
          <w:sz w:val="28"/>
          <w:szCs w:val="28"/>
        </w:rPr>
        <w:t>. и доп. – М.: ИД ФОРУМ, НИЦ ИНФРА-М, 2017. – 288 с</w:t>
      </w:r>
      <w:bookmarkEnd w:id="2"/>
      <w:r w:rsidRPr="00F475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0190" w:rsidRPr="00F475DF" w:rsidRDefault="000A0190" w:rsidP="000A0190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5DF">
        <w:rPr>
          <w:rFonts w:ascii="Times New Roman" w:hAnsi="Times New Roman"/>
          <w:sz w:val="28"/>
          <w:szCs w:val="28"/>
        </w:rPr>
        <w:t xml:space="preserve">Савицкая Г. В. Анализ хозяйственной деятельности предприятий: учебник / Г. В. Савицкая. – М.: ИП </w:t>
      </w:r>
      <w:proofErr w:type="spellStart"/>
      <w:r w:rsidRPr="00F475DF">
        <w:rPr>
          <w:rFonts w:ascii="Times New Roman" w:hAnsi="Times New Roman"/>
          <w:sz w:val="28"/>
          <w:szCs w:val="28"/>
        </w:rPr>
        <w:t>Экоперспектива</w:t>
      </w:r>
      <w:proofErr w:type="spellEnd"/>
      <w:r w:rsidRPr="00F475DF">
        <w:rPr>
          <w:rFonts w:ascii="Times New Roman" w:hAnsi="Times New Roman"/>
          <w:sz w:val="28"/>
          <w:szCs w:val="28"/>
        </w:rPr>
        <w:t xml:space="preserve">, 2018. – 536 с. </w:t>
      </w:r>
    </w:p>
    <w:p w:rsidR="003C125E" w:rsidRDefault="003C125E" w:rsidP="00B44536">
      <w:pPr>
        <w:spacing w:after="0" w:line="240" w:lineRule="auto"/>
      </w:pPr>
    </w:p>
    <w:sectPr w:rsidR="003C125E" w:rsidSect="004E7A8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07" w:rsidRDefault="00C04207" w:rsidP="00705216">
      <w:pPr>
        <w:spacing w:after="0" w:line="240" w:lineRule="auto"/>
      </w:pPr>
      <w:r>
        <w:separator/>
      </w:r>
    </w:p>
  </w:endnote>
  <w:endnote w:type="continuationSeparator" w:id="0">
    <w:p w:rsidR="00C04207" w:rsidRDefault="00C04207" w:rsidP="0070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470681"/>
      <w:docPartObj>
        <w:docPartGallery w:val="Page Numbers (Bottom of Page)"/>
        <w:docPartUnique/>
      </w:docPartObj>
    </w:sdtPr>
    <w:sdtContent>
      <w:p w:rsidR="004E7A8B" w:rsidRDefault="004E7A8B" w:rsidP="004E7A8B">
        <w:pPr>
          <w:pStyle w:val="a8"/>
          <w:jc w:val="right"/>
        </w:pPr>
        <w:r w:rsidRPr="004E7A8B">
          <w:rPr>
            <w:rFonts w:ascii="Times New Roman" w:hAnsi="Times New Roman"/>
            <w:sz w:val="24"/>
          </w:rPr>
          <w:fldChar w:fldCharType="begin"/>
        </w:r>
        <w:r w:rsidRPr="004E7A8B">
          <w:rPr>
            <w:rFonts w:ascii="Times New Roman" w:hAnsi="Times New Roman"/>
            <w:sz w:val="24"/>
          </w:rPr>
          <w:instrText xml:space="preserve"> PAGE   \* MERGEFORMAT </w:instrText>
        </w:r>
        <w:r w:rsidRPr="004E7A8B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5</w:t>
        </w:r>
        <w:r w:rsidRPr="004E7A8B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07" w:rsidRDefault="00C04207" w:rsidP="00705216">
      <w:pPr>
        <w:spacing w:after="0" w:line="240" w:lineRule="auto"/>
      </w:pPr>
      <w:r>
        <w:separator/>
      </w:r>
    </w:p>
  </w:footnote>
  <w:footnote w:type="continuationSeparator" w:id="0">
    <w:p w:rsidR="00C04207" w:rsidRDefault="00C04207" w:rsidP="00705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0B9"/>
    <w:multiLevelType w:val="hybridMultilevel"/>
    <w:tmpl w:val="AE12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03E"/>
    <w:multiLevelType w:val="hybridMultilevel"/>
    <w:tmpl w:val="ED46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013ED"/>
    <w:multiLevelType w:val="hybridMultilevel"/>
    <w:tmpl w:val="7EB8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746EE"/>
    <w:multiLevelType w:val="hybridMultilevel"/>
    <w:tmpl w:val="0EEE47BA"/>
    <w:lvl w:ilvl="0" w:tplc="3DAC7E3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7D2"/>
    <w:rsid w:val="00063C8A"/>
    <w:rsid w:val="000A0190"/>
    <w:rsid w:val="003C125E"/>
    <w:rsid w:val="004E7A8B"/>
    <w:rsid w:val="00543E22"/>
    <w:rsid w:val="00705216"/>
    <w:rsid w:val="00B44536"/>
    <w:rsid w:val="00BC279A"/>
    <w:rsid w:val="00C04207"/>
    <w:rsid w:val="00C1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445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"/>
    <w:basedOn w:val="a"/>
    <w:link w:val="a5"/>
    <w:uiPriority w:val="34"/>
    <w:qFormat/>
    <w:rsid w:val="0070521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70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52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0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21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70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43E2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4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3E22"/>
    <w:rPr>
      <w:rFonts w:ascii="Tahoma" w:eastAsia="Calibri" w:hAnsi="Tahoma" w:cs="Tahoma"/>
      <w:sz w:val="16"/>
      <w:szCs w:val="16"/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0A0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445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960F6"/>
    <w:rsid w:val="0009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6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678E6-9198-43BB-BD2A-29D888EF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5</cp:revision>
  <dcterms:created xsi:type="dcterms:W3CDTF">2020-04-14T14:32:00Z</dcterms:created>
  <dcterms:modified xsi:type="dcterms:W3CDTF">2020-04-14T15:37:00Z</dcterms:modified>
</cp:coreProperties>
</file>